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6E565F"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A07EB6">
        <w:rPr>
          <w:sz w:val="18"/>
          <w:szCs w:val="18"/>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A07EB6">
        <w:rPr>
          <w:i/>
          <w:sz w:val="18"/>
          <w:szCs w:val="18"/>
        </w:rPr>
        <w:t xml:space="preserve">Uniform Rules for Demand Guarantees. </w:t>
      </w:r>
      <w:r w:rsidRPr="00A07EB6">
        <w:rPr>
          <w:i/>
          <w:sz w:val="18"/>
          <w:szCs w:val="18"/>
          <w:lang w:val="pt-BR"/>
        </w:rPr>
        <w:t>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C16812"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03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43B9"/>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07EB6"/>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c4e68da5-c55f-403f-85ca-1c4bc7335b8b"/>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6037</Words>
  <Characters>42205</Characters>
  <Application>Microsoft Office Word</Application>
  <DocSecurity>0</DocSecurity>
  <Lines>1029</Lines>
  <Paragraphs>249</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Sandra Stokytė</cp:lastModifiedBy>
  <cp:revision>3</cp:revision>
  <dcterms:created xsi:type="dcterms:W3CDTF">2026-04-01T13:34:00Z</dcterms:created>
  <dcterms:modified xsi:type="dcterms:W3CDTF">2026-04-01T13:36:00Z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